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单元五 临床护理伦理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9"/>
        <w:gridCol w:w="1996"/>
        <w:gridCol w:w="1751"/>
        <w:gridCol w:w="590"/>
        <w:gridCol w:w="1510"/>
        <w:gridCol w:w="57"/>
        <w:gridCol w:w="3089"/>
        <w:gridCol w:w="30"/>
      </w:tblGrid>
      <w:tr w14:paraId="4676C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FAFCCFA">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6D2E6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49" w:type="dxa"/>
            <w:shd w:val="clear" w:color="auto" w:fill="DEEBF6"/>
            <w:vAlign w:val="center"/>
          </w:tcPr>
          <w:p w14:paraId="06DAD9E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337" w:type="dxa"/>
            <w:gridSpan w:val="3"/>
            <w:shd w:val="clear" w:color="auto" w:fill="auto"/>
          </w:tcPr>
          <w:p w14:paraId="183F5901">
            <w:pPr>
              <w:spacing w:line="360" w:lineRule="auto"/>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5931CB4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tcPr>
          <w:p w14:paraId="3579FFE5">
            <w:pPr>
              <w:spacing w:line="360" w:lineRule="auto"/>
              <w:rPr>
                <w:rFonts w:ascii="仿宋" w:hAnsi="仿宋" w:eastAsia="仿宋" w:cs="仿宋"/>
                <w:b/>
                <w:bCs/>
                <w:sz w:val="28"/>
                <w:szCs w:val="28"/>
              </w:rPr>
            </w:pPr>
            <w:r>
              <w:rPr>
                <w:rFonts w:hint="eastAsia" w:ascii="仿宋" w:hAnsi="仿宋" w:eastAsia="仿宋" w:cs="仿宋"/>
                <w:b/>
                <w:bCs/>
                <w:sz w:val="28"/>
                <w:szCs w:val="28"/>
              </w:rPr>
              <w:t>普专护理学生</w:t>
            </w:r>
          </w:p>
        </w:tc>
      </w:tr>
      <w:tr w14:paraId="49D20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49" w:type="dxa"/>
            <w:shd w:val="clear" w:color="auto" w:fill="DEEBF6"/>
            <w:vAlign w:val="center"/>
          </w:tcPr>
          <w:p w14:paraId="4B50D3E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337" w:type="dxa"/>
            <w:gridSpan w:val="3"/>
            <w:shd w:val="clear" w:color="auto" w:fill="auto"/>
          </w:tcPr>
          <w:p w14:paraId="41C23699">
            <w:pPr>
              <w:spacing w:line="360" w:lineRule="auto"/>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6C646E6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tcPr>
          <w:p w14:paraId="03260A26">
            <w:pPr>
              <w:spacing w:line="360" w:lineRule="auto"/>
              <w:rPr>
                <w:rFonts w:ascii="仿宋" w:hAnsi="仿宋" w:eastAsia="仿宋" w:cs="仿宋"/>
                <w:b/>
                <w:bCs/>
                <w:sz w:val="28"/>
                <w:szCs w:val="28"/>
              </w:rPr>
            </w:pPr>
            <w:r>
              <w:rPr>
                <w:rFonts w:hint="eastAsia" w:ascii="仿宋" w:hAnsi="仿宋" w:eastAsia="仿宋" w:cs="仿宋"/>
                <w:b/>
                <w:bCs/>
                <w:sz w:val="28"/>
                <w:szCs w:val="28"/>
              </w:rPr>
              <w:t>2学时（90分钟）</w:t>
            </w:r>
          </w:p>
        </w:tc>
      </w:tr>
      <w:tr w14:paraId="7D0E1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49" w:type="dxa"/>
            <w:shd w:val="clear" w:color="auto" w:fill="DEEBF6"/>
            <w:vAlign w:val="center"/>
          </w:tcPr>
          <w:p w14:paraId="62AE939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337" w:type="dxa"/>
            <w:gridSpan w:val="3"/>
            <w:shd w:val="clear" w:color="auto" w:fill="auto"/>
          </w:tcPr>
          <w:p w14:paraId="4457FCDF">
            <w:pPr>
              <w:spacing w:line="360" w:lineRule="auto"/>
              <w:rPr>
                <w:rFonts w:ascii="仿宋" w:hAnsi="仿宋" w:eastAsia="仿宋" w:cs="仿宋"/>
                <w:b/>
                <w:bCs/>
                <w:sz w:val="24"/>
                <w:szCs w:val="24"/>
              </w:rPr>
            </w:pPr>
            <w:r>
              <w:rPr>
                <w:rFonts w:hint="eastAsia" w:ascii="仿宋" w:hAnsi="仿宋" w:eastAsia="仿宋" w:cs="仿宋"/>
                <w:b/>
                <w:bCs/>
                <w:sz w:val="24"/>
                <w:szCs w:val="24"/>
              </w:rPr>
              <w:t>任务三 老年患者的护理伦理</w:t>
            </w:r>
          </w:p>
          <w:p w14:paraId="707C70CB">
            <w:pPr>
              <w:spacing w:line="360" w:lineRule="auto"/>
              <w:rPr>
                <w:rFonts w:ascii="仿宋" w:hAnsi="仿宋" w:eastAsia="仿宋" w:cs="仿宋"/>
                <w:b/>
                <w:bCs/>
                <w:sz w:val="28"/>
                <w:szCs w:val="28"/>
              </w:rPr>
            </w:pPr>
            <w:r>
              <w:rPr>
                <w:rFonts w:hint="eastAsia" w:ascii="仿宋" w:hAnsi="仿宋" w:eastAsia="仿宋" w:cs="仿宋"/>
                <w:b/>
                <w:bCs/>
                <w:sz w:val="24"/>
                <w:szCs w:val="24"/>
              </w:rPr>
              <w:t>任务四 精神病患者的护理伦理</w:t>
            </w:r>
          </w:p>
        </w:tc>
        <w:tc>
          <w:tcPr>
            <w:tcW w:w="1510" w:type="dxa"/>
            <w:shd w:val="clear" w:color="auto" w:fill="DEEBF6"/>
            <w:vAlign w:val="center"/>
          </w:tcPr>
          <w:p w14:paraId="3CEE8F4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tcPr>
          <w:p w14:paraId="0E61841A">
            <w:pPr>
              <w:spacing w:line="360" w:lineRule="auto"/>
              <w:rPr>
                <w:rFonts w:ascii="仿宋" w:hAnsi="仿宋" w:eastAsia="仿宋" w:cs="仿宋"/>
                <w:b/>
                <w:bCs/>
                <w:sz w:val="28"/>
                <w:szCs w:val="28"/>
              </w:rPr>
            </w:pPr>
            <w:r>
              <w:rPr>
                <w:rFonts w:hint="eastAsia" w:ascii="仿宋" w:hAnsi="仿宋" w:eastAsia="仿宋" w:cs="仿宋"/>
                <w:b/>
                <w:bCs/>
                <w:sz w:val="28"/>
                <w:szCs w:val="28"/>
              </w:rPr>
              <w:t>理论</w:t>
            </w:r>
          </w:p>
        </w:tc>
      </w:tr>
      <w:tr w14:paraId="349BF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04F7232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496AD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0F445DC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4677D2B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4262379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7560D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tcPr>
          <w:p w14:paraId="5C4F8704">
            <w:pPr>
              <w:spacing w:line="360" w:lineRule="auto"/>
              <w:jc w:val="left"/>
              <w:rPr>
                <w:rFonts w:ascii="仿宋" w:hAnsi="仿宋" w:eastAsia="仿宋" w:cs="仿宋"/>
                <w:sz w:val="24"/>
              </w:rPr>
            </w:pPr>
            <w:r>
              <w:rPr>
                <w:rFonts w:hint="eastAsia" w:ascii="仿宋" w:hAnsi="仿宋" w:eastAsia="仿宋" w:cs="仿宋"/>
                <w:sz w:val="24"/>
              </w:rPr>
              <w:t>1.熟悉老年病、传染病患者的护理伦理。</w:t>
            </w:r>
          </w:p>
          <w:p w14:paraId="12DC808F">
            <w:pPr>
              <w:spacing w:line="360" w:lineRule="auto"/>
            </w:pPr>
            <w:r>
              <w:rPr>
                <w:rFonts w:hint="eastAsia"/>
              </w:rPr>
              <w:t>2</w:t>
            </w:r>
            <w:r>
              <w:t>.</w:t>
            </w:r>
            <w:r>
              <w:rPr>
                <w:rFonts w:hint="eastAsia"/>
              </w:rPr>
              <w:t>掌握老年患者护理的伦理规范</w:t>
            </w:r>
          </w:p>
          <w:p w14:paraId="105D9A2B">
            <w:pPr>
              <w:tabs>
                <w:tab w:val="left" w:pos="2176"/>
              </w:tabs>
              <w:spacing w:line="360" w:lineRule="auto"/>
              <w:jc w:val="left"/>
            </w:pPr>
            <w:r>
              <w:rPr>
                <w:rFonts w:hint="eastAsia"/>
              </w:rPr>
              <w:t>3</w:t>
            </w:r>
            <w:r>
              <w:t>.</w:t>
            </w:r>
            <w:r>
              <w:rPr>
                <w:rFonts w:hint="eastAsia"/>
              </w:rPr>
              <w:t>掌握精神病患者护理的伦理规范</w:t>
            </w:r>
          </w:p>
        </w:tc>
        <w:tc>
          <w:tcPr>
            <w:tcW w:w="3908" w:type="dxa"/>
            <w:gridSpan w:val="4"/>
          </w:tcPr>
          <w:p w14:paraId="42C67744">
            <w:pPr>
              <w:spacing w:line="360" w:lineRule="auto"/>
              <w:jc w:val="left"/>
              <w:rPr>
                <w:rFonts w:ascii="仿宋" w:hAnsi="仿宋" w:eastAsia="仿宋" w:cs="仿宋"/>
                <w:sz w:val="24"/>
              </w:rPr>
            </w:pPr>
            <w:r>
              <w:rPr>
                <w:rFonts w:hint="eastAsia" w:ascii="仿宋" w:hAnsi="仿宋" w:eastAsia="仿宋" w:cs="仿宋"/>
                <w:sz w:val="24"/>
              </w:rPr>
              <w:t>1.学会护理老年、精神病患者工作中常见的护理伦理规范。</w:t>
            </w:r>
          </w:p>
          <w:p w14:paraId="3A06BEFC">
            <w:pPr>
              <w:spacing w:line="360" w:lineRule="auto"/>
              <w:jc w:val="left"/>
              <w:rPr>
                <w:rFonts w:ascii="仿宋" w:hAnsi="仿宋" w:eastAsia="仿宋" w:cs="仿宋"/>
                <w:sz w:val="24"/>
              </w:rPr>
            </w:pPr>
            <w:r>
              <w:rPr>
                <w:rFonts w:hint="eastAsia" w:ascii="仿宋" w:hAnsi="仿宋" w:eastAsia="仿宋" w:cs="仿宋"/>
                <w:sz w:val="24"/>
              </w:rPr>
              <w:t>2.会利用护理老年、精神病患者工作中常见的护理伦理规范解决护患中的伦理问题。</w:t>
            </w:r>
          </w:p>
        </w:tc>
        <w:tc>
          <w:tcPr>
            <w:tcW w:w="3119" w:type="dxa"/>
            <w:gridSpan w:val="2"/>
          </w:tcPr>
          <w:p w14:paraId="513A58B2">
            <w:pPr>
              <w:spacing w:line="360" w:lineRule="auto"/>
              <w:jc w:val="left"/>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具有较强的临床科室护理的职业道德素质。</w:t>
            </w:r>
          </w:p>
        </w:tc>
      </w:tr>
      <w:tr w14:paraId="2CE23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34DBAA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0FA00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46602940">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习了临床护理伦理的相关内容，但对老年，精神病患者的护理伦理特点和规范不是很清楚，有待于进一步的加强学习。课前进行问卷调研，大部分同学对老年，精神病患者的护理伦理特点和规范是较感兴趣的，部分同学有运用伦理学分析问题的意识，但对于老年，精神病患者的护理伦理特点和常用的护理伦理规范不是很清楚，利用临床中常见的护理伦理规范解决老年，精神病患者的护理伦理问题能力还不足。 </w:t>
            </w:r>
          </w:p>
          <w:p w14:paraId="37B0A516">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应加强老年，精神病患者的护理伦理特点和常用的护理伦理规范理论讲解，增强利用老年，精神病患者的护理伦理特点和常用的护理伦理规范解决护患中的伦理问题能力，培养临床科室护理的职业道德素质。</w:t>
            </w:r>
          </w:p>
        </w:tc>
      </w:tr>
      <w:tr w14:paraId="754BD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4845A50B">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1813E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2888AF31">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1034F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559EA22F">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4B15F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2829DEA1">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3B0C5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70847C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4F53D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4032749B">
            <w:pPr>
              <w:spacing w:line="360" w:lineRule="auto"/>
              <w:ind w:firstLine="480" w:firstLineChars="200"/>
              <w:rPr>
                <w:rFonts w:ascii="仿宋" w:hAnsi="仿宋" w:eastAsia="仿宋" w:cs="仿宋"/>
                <w:sz w:val="24"/>
              </w:rPr>
            </w:pPr>
            <w:r>
              <w:rPr>
                <w:rFonts w:hint="eastAsia" w:ascii="仿宋" w:hAnsi="仿宋" w:eastAsia="仿宋" w:cs="仿宋"/>
                <w:sz w:val="24"/>
              </w:rPr>
              <w:t>知识回顾                         2min</w:t>
            </w:r>
          </w:p>
          <w:p w14:paraId="69777EC8">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3117267A">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3290A4DD">
            <w:pPr>
              <w:spacing w:line="360" w:lineRule="auto"/>
              <w:ind w:firstLine="480" w:firstLineChars="200"/>
              <w:rPr>
                <w:rFonts w:ascii="仿宋" w:hAnsi="仿宋" w:eastAsia="仿宋" w:cs="仿宋"/>
                <w:sz w:val="24"/>
              </w:rPr>
            </w:pPr>
            <w:r>
              <w:rPr>
                <w:rFonts w:hint="eastAsia" w:ascii="仿宋" w:hAnsi="仿宋" w:eastAsia="仿宋" w:cs="仿宋"/>
                <w:sz w:val="24"/>
              </w:rPr>
              <w:t>老年患者的护理伦理               40min</w:t>
            </w:r>
          </w:p>
          <w:p w14:paraId="7EAE2F5B">
            <w:pPr>
              <w:spacing w:line="360" w:lineRule="auto"/>
              <w:ind w:firstLine="480" w:firstLineChars="200"/>
              <w:rPr>
                <w:rFonts w:ascii="仿宋" w:hAnsi="仿宋" w:eastAsia="仿宋" w:cs="仿宋"/>
                <w:sz w:val="24"/>
              </w:rPr>
            </w:pPr>
            <w:r>
              <w:rPr>
                <w:rFonts w:hint="eastAsia" w:ascii="仿宋" w:hAnsi="仿宋" w:eastAsia="仿宋" w:cs="仿宋"/>
                <w:sz w:val="24"/>
              </w:rPr>
              <w:t xml:space="preserve">精神病患者的护理伦理 </w:t>
            </w:r>
            <w:r>
              <w:rPr>
                <w:rFonts w:ascii="仿宋" w:hAnsi="仿宋" w:eastAsia="仿宋" w:cs="仿宋"/>
                <w:sz w:val="24"/>
              </w:rPr>
              <w:t xml:space="preserve">            </w:t>
            </w:r>
            <w:r>
              <w:rPr>
                <w:rFonts w:hint="eastAsia" w:ascii="仿宋" w:hAnsi="仿宋" w:eastAsia="仿宋" w:cs="仿宋"/>
                <w:sz w:val="24"/>
              </w:rPr>
              <w:t>40min</w:t>
            </w:r>
          </w:p>
          <w:p w14:paraId="5A152E67">
            <w:pPr>
              <w:spacing w:line="360" w:lineRule="auto"/>
              <w:ind w:firstLine="480" w:firstLineChars="200"/>
              <w:rPr>
                <w:rFonts w:ascii="仿宋" w:hAnsi="仿宋" w:eastAsia="仿宋" w:cs="仿宋"/>
                <w:sz w:val="24"/>
              </w:rPr>
            </w:pPr>
            <w:r>
              <w:rPr>
                <w:rFonts w:hint="eastAsia" w:ascii="仿宋" w:hAnsi="仿宋" w:eastAsia="仿宋" w:cs="仿宋"/>
                <w:sz w:val="24"/>
              </w:rPr>
              <w:t>总结                             2min</w:t>
            </w:r>
          </w:p>
          <w:p w14:paraId="2B46AE2D">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5F174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0763ECA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3118195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0D2D0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top"/>
          </w:tcPr>
          <w:p w14:paraId="03F0F597">
            <w:pPr>
              <w:spacing w:line="360" w:lineRule="auto"/>
              <w:jc w:val="both"/>
              <w:rPr>
                <w:rFonts w:ascii="仿宋" w:hAnsi="仿宋" w:eastAsia="仿宋" w:cs="仿宋"/>
                <w:sz w:val="24"/>
              </w:rPr>
            </w:pPr>
            <w:r>
              <w:rPr>
                <w:rFonts w:hint="eastAsia" w:ascii="仿宋" w:hAnsi="仿宋" w:eastAsia="仿宋" w:cs="仿宋"/>
                <w:sz w:val="24"/>
              </w:rPr>
              <w:t>1.老年患者护理的护理伦理</w:t>
            </w:r>
          </w:p>
          <w:p w14:paraId="2C9FF9B7">
            <w:pPr>
              <w:spacing w:line="360" w:lineRule="auto"/>
              <w:jc w:val="both"/>
              <w:rPr>
                <w:rFonts w:ascii="仿宋" w:hAnsi="仿宋" w:eastAsia="仿宋" w:cs="仿宋"/>
                <w:sz w:val="24"/>
              </w:rPr>
            </w:pPr>
            <w:r>
              <w:rPr>
                <w:rFonts w:hint="eastAsia" w:ascii="仿宋" w:hAnsi="仿宋" w:eastAsia="仿宋" w:cs="仿宋"/>
                <w:sz w:val="24"/>
              </w:rPr>
              <w:t>2.精神病患者护理的护理伦理</w:t>
            </w:r>
          </w:p>
          <w:p w14:paraId="73542CDA">
            <w:pPr>
              <w:spacing w:line="360" w:lineRule="auto"/>
              <w:jc w:val="both"/>
              <w:rPr>
                <w:rFonts w:ascii="仿宋" w:hAnsi="仿宋" w:eastAsia="仿宋" w:cs="仿宋"/>
                <w:sz w:val="24"/>
              </w:rPr>
            </w:pPr>
            <w:r>
              <w:rPr>
                <w:rFonts w:hint="eastAsia" w:ascii="仿宋" w:hAnsi="仿宋" w:eastAsia="仿宋" w:cs="仿宋"/>
                <w:sz w:val="24"/>
              </w:rPr>
              <w:t>对策：</w:t>
            </w:r>
          </w:p>
          <w:p w14:paraId="46F0FBED">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问卷调研分析学情，对老年病和精神病相关科室的护理伦理规范的了解不足；在职教云上传相关微课。</w:t>
            </w:r>
          </w:p>
          <w:p w14:paraId="60A470A6">
            <w:pPr>
              <w:spacing w:line="360" w:lineRule="auto"/>
              <w:jc w:val="both"/>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2B5BED25">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top"/>
          </w:tcPr>
          <w:p w14:paraId="40D6DBF1">
            <w:pPr>
              <w:spacing w:line="360" w:lineRule="auto"/>
              <w:jc w:val="both"/>
              <w:rPr>
                <w:rFonts w:ascii="仿宋" w:hAnsi="仿宋" w:eastAsia="仿宋" w:cs="仿宋"/>
                <w:sz w:val="24"/>
              </w:rPr>
            </w:pPr>
            <w:r>
              <w:rPr>
                <w:rFonts w:hint="eastAsia" w:ascii="仿宋" w:hAnsi="仿宋" w:eastAsia="仿宋" w:cs="仿宋"/>
                <w:sz w:val="24"/>
              </w:rPr>
              <w:t>1.护理伦理规范在老年病科的应用。</w:t>
            </w:r>
          </w:p>
          <w:p w14:paraId="511C978C">
            <w:pPr>
              <w:spacing w:line="360" w:lineRule="auto"/>
              <w:jc w:val="both"/>
              <w:rPr>
                <w:rFonts w:ascii="仿宋" w:hAnsi="仿宋" w:eastAsia="仿宋" w:cs="仿宋"/>
                <w:sz w:val="24"/>
              </w:rPr>
            </w:pPr>
            <w:r>
              <w:rPr>
                <w:rFonts w:hint="eastAsia" w:ascii="仿宋" w:hAnsi="仿宋" w:eastAsia="仿宋" w:cs="仿宋"/>
                <w:sz w:val="24"/>
              </w:rPr>
              <w:t>2.护理伦理规范在精神病科的应用。</w:t>
            </w:r>
          </w:p>
          <w:p w14:paraId="7FAB1460">
            <w:pPr>
              <w:spacing w:line="360" w:lineRule="auto"/>
              <w:jc w:val="both"/>
              <w:rPr>
                <w:rFonts w:ascii="仿宋" w:hAnsi="仿宋" w:eastAsia="仿宋" w:cs="仿宋"/>
                <w:sz w:val="24"/>
              </w:rPr>
            </w:pPr>
            <w:r>
              <w:rPr>
                <w:rFonts w:hint="eastAsia" w:ascii="仿宋" w:hAnsi="仿宋" w:eastAsia="仿宋" w:cs="仿宋"/>
                <w:sz w:val="24"/>
              </w:rPr>
              <w:t>对策：</w:t>
            </w:r>
          </w:p>
          <w:p w14:paraId="2801E7D3">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623A8DF3">
            <w:pPr>
              <w:spacing w:line="360" w:lineRule="auto"/>
              <w:jc w:val="both"/>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6CC62A08">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38D93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732676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267D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0D7F952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5044487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08458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50E8955C">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076960" cy="1461135"/>
                  <wp:effectExtent l="0" t="0" r="8890" b="5715"/>
                  <wp:docPr id="1" name="图片 1"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47b241cda15149b93766219ff89d70"/>
                          <pic:cNvPicPr>
                            <a:picLocks noChangeAspect="1"/>
                          </pic:cNvPicPr>
                        </pic:nvPicPr>
                        <pic:blipFill>
                          <a:blip r:embed="rId7"/>
                          <a:stretch>
                            <a:fillRect/>
                          </a:stretch>
                        </pic:blipFill>
                        <pic:spPr>
                          <a:xfrm>
                            <a:off x="0" y="0"/>
                            <a:ext cx="1076960" cy="146113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83945" cy="1473200"/>
                  <wp:effectExtent l="0" t="0" r="1905" b="12700"/>
                  <wp:docPr id="2" name="图片 2"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29788608(1)"/>
                          <pic:cNvPicPr>
                            <a:picLocks noChangeAspect="1"/>
                          </pic:cNvPicPr>
                        </pic:nvPicPr>
                        <pic:blipFill>
                          <a:blip r:embed="rId8"/>
                          <a:stretch>
                            <a:fillRect/>
                          </a:stretch>
                        </pic:blipFill>
                        <pic:spPr>
                          <a:xfrm>
                            <a:off x="0" y="0"/>
                            <a:ext cx="1083945" cy="1473200"/>
                          </a:xfrm>
                          <a:prstGeom prst="rect">
                            <a:avLst/>
                          </a:prstGeom>
                          <a:noFill/>
                          <a:ln>
                            <a:noFill/>
                          </a:ln>
                        </pic:spPr>
                      </pic:pic>
                    </a:graphicData>
                  </a:graphic>
                </wp:inline>
              </w:drawing>
            </w:r>
          </w:p>
          <w:p w14:paraId="781FDE1C">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42035" cy="1553845"/>
                  <wp:effectExtent l="0" t="0" r="5715" b="8255"/>
                  <wp:docPr id="14" name="图片 14"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29788927(1)"/>
                          <pic:cNvPicPr>
                            <a:picLocks noChangeAspect="1"/>
                          </pic:cNvPicPr>
                        </pic:nvPicPr>
                        <pic:blipFill>
                          <a:blip r:embed="rId9"/>
                          <a:stretch>
                            <a:fillRect/>
                          </a:stretch>
                        </pic:blipFill>
                        <pic:spPr>
                          <a:xfrm>
                            <a:off x="0" y="0"/>
                            <a:ext cx="1042035" cy="155384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9805" cy="1390015"/>
                  <wp:effectExtent l="0" t="0" r="10795" b="635"/>
                  <wp:docPr id="4" name="图片 4"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29798548(1)"/>
                          <pic:cNvPicPr>
                            <a:picLocks noChangeAspect="1"/>
                          </pic:cNvPicPr>
                        </pic:nvPicPr>
                        <pic:blipFill>
                          <a:blip r:embed="rId10"/>
                          <a:stretch>
                            <a:fillRect/>
                          </a:stretch>
                        </pic:blipFill>
                        <pic:spPr>
                          <a:xfrm>
                            <a:off x="0" y="0"/>
                            <a:ext cx="979805" cy="1390015"/>
                          </a:xfrm>
                          <a:prstGeom prst="rect">
                            <a:avLst/>
                          </a:prstGeom>
                          <a:noFill/>
                          <a:ln>
                            <a:noFill/>
                          </a:ln>
                        </pic:spPr>
                      </pic:pic>
                    </a:graphicData>
                  </a:graphic>
                </wp:inline>
              </w:drawing>
            </w:r>
          </w:p>
        </w:tc>
        <w:tc>
          <w:tcPr>
            <w:tcW w:w="5246" w:type="dxa"/>
            <w:gridSpan w:val="4"/>
          </w:tcPr>
          <w:p w14:paraId="070A0DA5">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118870" cy="862965"/>
                  <wp:effectExtent l="0" t="0" r="5080" b="13335"/>
                  <wp:docPr id="15" name="图片 15"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20189801(1)"/>
                          <pic:cNvPicPr>
                            <a:picLocks noChangeAspect="1"/>
                          </pic:cNvPicPr>
                        </pic:nvPicPr>
                        <pic:blipFill>
                          <a:blip r:embed="rId11"/>
                          <a:stretch>
                            <a:fillRect/>
                          </a:stretch>
                        </pic:blipFill>
                        <pic:spPr>
                          <a:xfrm>
                            <a:off x="0" y="0"/>
                            <a:ext cx="1118870" cy="86296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763270" cy="763270"/>
                  <wp:effectExtent l="0" t="0" r="17780" b="17780"/>
                  <wp:docPr id="16" name="图片 16"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20189909(1)"/>
                          <pic:cNvPicPr>
                            <a:picLocks noChangeAspect="1"/>
                          </pic:cNvPicPr>
                        </pic:nvPicPr>
                        <pic:blipFill>
                          <a:blip r:embed="rId12"/>
                          <a:stretch>
                            <a:fillRect/>
                          </a:stretch>
                        </pic:blipFill>
                        <pic:spPr>
                          <a:xfrm>
                            <a:off x="0" y="0"/>
                            <a:ext cx="763270" cy="763270"/>
                          </a:xfrm>
                          <a:prstGeom prst="rect">
                            <a:avLst/>
                          </a:prstGeom>
                          <a:noFill/>
                          <a:ln>
                            <a:noFill/>
                          </a:ln>
                        </pic:spPr>
                      </pic:pic>
                    </a:graphicData>
                  </a:graphic>
                </wp:inline>
              </w:drawing>
            </w:r>
          </w:p>
          <w:p w14:paraId="279F7C71">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251654F7">
            <w:pPr>
              <w:spacing w:line="360" w:lineRule="auto"/>
              <w:jc w:val="left"/>
              <w:rPr>
                <w:rFonts w:ascii="仿宋" w:hAnsi="仿宋" w:eastAsia="仿宋" w:cs="仿宋"/>
                <w:b/>
                <w:bCs/>
                <w:sz w:val="28"/>
                <w:szCs w:val="28"/>
              </w:rPr>
            </w:pPr>
            <w:r>
              <w:rPr>
                <w:rFonts w:ascii="仿宋" w:hAnsi="仿宋" w:eastAsia="仿宋" w:cs="仿宋"/>
                <w:b/>
                <w:bCs/>
                <w:sz w:val="28"/>
                <w:szCs w:val="28"/>
              </w:rPr>
              <w:drawing>
                <wp:inline distT="0" distB="0" distL="114300" distR="114300">
                  <wp:extent cx="2095500" cy="910590"/>
                  <wp:effectExtent l="0" t="0" r="0" b="3810"/>
                  <wp:docPr id="17" name="图片 17"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20189844(1)"/>
                          <pic:cNvPicPr>
                            <a:picLocks noChangeAspect="1"/>
                          </pic:cNvPicPr>
                        </pic:nvPicPr>
                        <pic:blipFill>
                          <a:blip r:embed="rId13"/>
                          <a:srcRect r="10596" b="8208"/>
                          <a:stretch>
                            <a:fillRect/>
                          </a:stretch>
                        </pic:blipFill>
                        <pic:spPr>
                          <a:xfrm>
                            <a:off x="0" y="0"/>
                            <a:ext cx="2095500" cy="910590"/>
                          </a:xfrm>
                          <a:prstGeom prst="rect">
                            <a:avLst/>
                          </a:prstGeom>
                          <a:noFill/>
                          <a:ln>
                            <a:noFill/>
                          </a:ln>
                        </pic:spPr>
                      </pic:pic>
                    </a:graphicData>
                  </a:graphic>
                </wp:inline>
              </w:drawing>
            </w:r>
          </w:p>
          <w:p w14:paraId="27C0F7CA">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25340F61">
            <w:pPr>
              <w:spacing w:line="360" w:lineRule="auto"/>
              <w:jc w:val="left"/>
              <w:rPr>
                <w:rFonts w:ascii="仿宋" w:hAnsi="仿宋" w:eastAsia="仿宋" w:cs="仿宋"/>
                <w:b/>
                <w:bCs/>
                <w:sz w:val="28"/>
                <w:szCs w:val="28"/>
              </w:rPr>
            </w:pPr>
          </w:p>
        </w:tc>
      </w:tr>
    </w:tbl>
    <w:p w14:paraId="4E0EC302">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4"/>
        <w:gridCol w:w="2700"/>
        <w:gridCol w:w="2610"/>
        <w:gridCol w:w="3008"/>
      </w:tblGrid>
      <w:tr w14:paraId="2CE98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5B3288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1366D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shd w:val="clear" w:color="auto" w:fill="DEEBF6"/>
            <w:vAlign w:val="top"/>
          </w:tcPr>
          <w:p w14:paraId="6C85C21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教学内容</w:t>
            </w:r>
          </w:p>
        </w:tc>
        <w:tc>
          <w:tcPr>
            <w:tcW w:w="2700" w:type="dxa"/>
            <w:shd w:val="clear" w:color="auto" w:fill="DEEBF6"/>
            <w:vAlign w:val="top"/>
          </w:tcPr>
          <w:p w14:paraId="5B67E46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610" w:type="dxa"/>
            <w:shd w:val="clear" w:color="auto" w:fill="DEEBF6"/>
            <w:vAlign w:val="top"/>
          </w:tcPr>
          <w:p w14:paraId="2CD25A9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008" w:type="dxa"/>
            <w:shd w:val="clear" w:color="auto" w:fill="DEEBF6"/>
            <w:vAlign w:val="top"/>
          </w:tcPr>
          <w:p w14:paraId="40D690A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tr w14:paraId="27475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20207BB7">
            <w:pPr>
              <w:spacing w:line="360" w:lineRule="auto"/>
              <w:rPr>
                <w:rFonts w:hint="eastAsia" w:ascii="仿宋" w:hAnsi="仿宋" w:eastAsia="仿宋" w:cs="仿宋"/>
                <w:sz w:val="24"/>
              </w:rPr>
            </w:pPr>
            <w:r>
              <w:rPr>
                <w:rFonts w:hint="eastAsia" w:ascii="仿宋" w:hAnsi="仿宋" w:eastAsia="仿宋" w:cs="仿宋"/>
                <w:sz w:val="24"/>
              </w:rPr>
              <w:t>1.老年患者护理的护理伦理</w:t>
            </w:r>
          </w:p>
          <w:p w14:paraId="56F5DA70">
            <w:pPr>
              <w:spacing w:line="360" w:lineRule="auto"/>
              <w:rPr>
                <w:rFonts w:hint="eastAsia" w:ascii="仿宋" w:hAnsi="仿宋" w:eastAsia="仿宋" w:cs="仿宋"/>
                <w:sz w:val="24"/>
              </w:rPr>
            </w:pPr>
          </w:p>
          <w:p w14:paraId="1F10C98F">
            <w:pPr>
              <w:spacing w:line="360" w:lineRule="auto"/>
              <w:rPr>
                <w:rFonts w:ascii="仿宋" w:hAnsi="仿宋" w:eastAsia="仿宋" w:cs="仿宋"/>
                <w:sz w:val="24"/>
              </w:rPr>
            </w:pPr>
            <w:r>
              <w:rPr>
                <w:rFonts w:hint="eastAsia" w:ascii="仿宋" w:hAnsi="仿宋" w:eastAsia="仿宋" w:cs="仿宋"/>
                <w:sz w:val="24"/>
              </w:rPr>
              <w:t>2.精神病患者护理的护理伦理</w:t>
            </w:r>
          </w:p>
          <w:p w14:paraId="662740D0">
            <w:pPr>
              <w:spacing w:line="360" w:lineRule="auto"/>
              <w:rPr>
                <w:rFonts w:ascii="仿宋" w:hAnsi="仿宋" w:eastAsia="仿宋" w:cs="仿宋"/>
                <w:sz w:val="24"/>
              </w:rPr>
            </w:pPr>
          </w:p>
        </w:tc>
        <w:tc>
          <w:tcPr>
            <w:tcW w:w="2700" w:type="dxa"/>
            <w:vAlign w:val="top"/>
          </w:tcPr>
          <w:p w14:paraId="473D94FF">
            <w:pPr>
              <w:numPr>
                <w:ilvl w:val="0"/>
                <w:numId w:val="1"/>
              </w:numPr>
              <w:spacing w:line="360" w:lineRule="auto"/>
              <w:rPr>
                <w:rFonts w:ascii="仿宋" w:hAnsi="仿宋" w:eastAsia="仿宋" w:cs="仿宋"/>
                <w:sz w:val="24"/>
              </w:rPr>
            </w:pPr>
            <w:r>
              <w:rPr>
                <w:rFonts w:hint="eastAsia" w:ascii="仿宋" w:hAnsi="仿宋" w:eastAsia="仿宋" w:cs="仿宋"/>
                <w:sz w:val="24"/>
              </w:rPr>
              <w:t>课前发布相关问卷，分析收集问卷内容，为新课讲授做准备。</w:t>
            </w:r>
          </w:p>
          <w:p w14:paraId="666C0DCD">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610" w:type="dxa"/>
            <w:vAlign w:val="top"/>
          </w:tcPr>
          <w:p w14:paraId="5022616D">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53DE5620">
            <w:pPr>
              <w:spacing w:line="360" w:lineRule="auto"/>
              <w:rPr>
                <w:rFonts w:ascii="仿宋" w:hAnsi="仿宋" w:eastAsia="仿宋" w:cs="仿宋"/>
                <w:sz w:val="24"/>
              </w:rPr>
            </w:pPr>
            <w:r>
              <w:rPr>
                <w:rFonts w:hint="eastAsia" w:ascii="仿宋" w:hAnsi="仿宋" w:eastAsia="仿宋" w:cs="仿宋"/>
                <w:sz w:val="24"/>
              </w:rPr>
              <w:t xml:space="preserve">   </w:t>
            </w:r>
          </w:p>
          <w:p w14:paraId="02206858">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008" w:type="dxa"/>
            <w:vAlign w:val="top"/>
          </w:tcPr>
          <w:p w14:paraId="1A19FC15">
            <w:pPr>
              <w:spacing w:line="360" w:lineRule="auto"/>
              <w:rPr>
                <w:rFonts w:ascii="仿宋" w:hAnsi="仿宋" w:eastAsia="仿宋" w:cs="仿宋"/>
                <w:sz w:val="24"/>
              </w:rPr>
            </w:pPr>
            <w:r>
              <w:rPr>
                <w:rFonts w:hint="eastAsia" w:ascii="仿宋" w:hAnsi="仿宋" w:eastAsia="仿宋" w:cs="仿宋"/>
                <w:sz w:val="24"/>
              </w:rPr>
              <w:t>1.了解学生对上节课重点的把握及本次课的知识水平，为有效教学做准备。</w:t>
            </w:r>
          </w:p>
          <w:p w14:paraId="1FB8C827">
            <w:pPr>
              <w:spacing w:line="360" w:lineRule="auto"/>
              <w:rPr>
                <w:rFonts w:ascii="仿宋" w:hAnsi="仿宋" w:eastAsia="仿宋" w:cs="仿宋"/>
                <w:sz w:val="24"/>
              </w:rPr>
            </w:pPr>
            <w:r>
              <w:rPr>
                <w:rFonts w:hint="eastAsia" w:ascii="仿宋" w:hAnsi="仿宋" w:eastAsia="仿宋" w:cs="仿宋"/>
                <w:sz w:val="24"/>
              </w:rPr>
              <w:t>2.该部分内容较多，提前预习，有助于课上内容的消化</w:t>
            </w:r>
          </w:p>
        </w:tc>
      </w:tr>
      <w:tr w14:paraId="58367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029E1D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31A00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shd w:val="clear" w:color="auto" w:fill="DEEAF6"/>
            <w:vAlign w:val="top"/>
          </w:tcPr>
          <w:p w14:paraId="789DC134">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700" w:type="dxa"/>
            <w:shd w:val="clear" w:color="auto" w:fill="DEEAF6"/>
            <w:vAlign w:val="top"/>
          </w:tcPr>
          <w:p w14:paraId="541B2E21">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610" w:type="dxa"/>
            <w:shd w:val="clear" w:color="auto" w:fill="DEEAF6"/>
            <w:vAlign w:val="top"/>
          </w:tcPr>
          <w:p w14:paraId="24758D94">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008" w:type="dxa"/>
            <w:shd w:val="clear" w:color="auto" w:fill="DEEAF6"/>
            <w:vAlign w:val="top"/>
          </w:tcPr>
          <w:p w14:paraId="6E7DA8DC">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17AEB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shd w:val="clear" w:color="auto" w:fill="auto"/>
            <w:vAlign w:val="top"/>
          </w:tcPr>
          <w:p w14:paraId="3A92AB4F">
            <w:pPr>
              <w:spacing w:line="360" w:lineRule="auto"/>
              <w:jc w:val="left"/>
            </w:pPr>
            <w:r>
              <w:rPr>
                <w:rFonts w:hint="eastAsia" w:ascii="仿宋" w:hAnsi="仿宋" w:eastAsia="仿宋" w:cs="仿宋"/>
                <w:sz w:val="24"/>
              </w:rPr>
              <w:t xml:space="preserve">知识回顾    </w:t>
            </w:r>
            <w:r>
              <w:rPr>
                <w:rFonts w:hint="eastAsia" w:ascii="仿宋" w:hAnsi="仿宋" w:eastAsia="仿宋" w:cs="仿宋"/>
                <w:sz w:val="24"/>
              </w:rPr>
              <w:drawing>
                <wp:inline distT="0" distB="0" distL="114300" distR="114300">
                  <wp:extent cx="1031240" cy="480060"/>
                  <wp:effectExtent l="0" t="0" r="16510" b="15240"/>
                  <wp:docPr id="18" name="图片 18" descr="04fcdfe41b0c0249351f58f7874c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4fcdfe41b0c0249351f58f7874c813"/>
                          <pic:cNvPicPr>
                            <a:picLocks noChangeAspect="1"/>
                          </pic:cNvPicPr>
                        </pic:nvPicPr>
                        <pic:blipFill>
                          <a:blip r:embed="rId14"/>
                          <a:stretch>
                            <a:fillRect/>
                          </a:stretch>
                        </pic:blipFill>
                        <pic:spPr>
                          <a:xfrm>
                            <a:off x="0" y="0"/>
                            <a:ext cx="1031240" cy="480060"/>
                          </a:xfrm>
                          <a:prstGeom prst="rect">
                            <a:avLst/>
                          </a:prstGeom>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700" w:type="dxa"/>
            <w:shd w:val="clear" w:color="auto" w:fill="auto"/>
            <w:vAlign w:val="top"/>
          </w:tcPr>
          <w:p w14:paraId="3AF15D4E">
            <w:pPr>
              <w:spacing w:line="360" w:lineRule="auto"/>
              <w:jc w:val="left"/>
              <w:rPr>
                <w:rFonts w:ascii="仿宋" w:hAnsi="仿宋" w:eastAsia="仿宋" w:cs="仿宋"/>
                <w:sz w:val="24"/>
              </w:rPr>
            </w:pPr>
            <w:r>
              <w:rPr>
                <w:rFonts w:hint="eastAsia" w:ascii="仿宋" w:hAnsi="仿宋" w:eastAsia="仿宋" w:cs="仿宋"/>
                <w:sz w:val="24"/>
              </w:rPr>
              <w:t>1.思维导图呈现</w:t>
            </w:r>
            <w:r>
              <w:rPr>
                <w:rFonts w:hint="eastAsia" w:ascii="仿宋" w:hAnsi="仿宋" w:eastAsia="仿宋" w:cs="仿宋"/>
                <w:sz w:val="24"/>
                <w:lang w:val="en-US" w:eastAsia="zh-CN"/>
              </w:rPr>
              <w:t>上次课</w:t>
            </w:r>
            <w:r>
              <w:rPr>
                <w:rFonts w:hint="eastAsia" w:ascii="仿宋" w:hAnsi="仿宋" w:eastAsia="仿宋" w:cs="仿宋"/>
                <w:sz w:val="24"/>
              </w:rPr>
              <w:t>知识框架</w:t>
            </w:r>
          </w:p>
          <w:p w14:paraId="17CF008D">
            <w:pPr>
              <w:spacing w:line="360" w:lineRule="auto"/>
              <w:jc w:val="left"/>
              <w:rPr>
                <w:rFonts w:ascii="仿宋" w:hAnsi="仿宋" w:eastAsia="仿宋" w:cs="仿宋"/>
                <w:sz w:val="24"/>
              </w:rPr>
            </w:pPr>
            <w:r>
              <w:rPr>
                <w:rFonts w:hint="eastAsia" w:ascii="仿宋" w:hAnsi="仿宋" w:eastAsia="仿宋" w:cs="仿宋"/>
                <w:sz w:val="24"/>
              </w:rPr>
              <w:t>2.回顾</w:t>
            </w:r>
            <w:r>
              <w:rPr>
                <w:rFonts w:hint="eastAsia" w:ascii="仿宋" w:hAnsi="仿宋" w:eastAsia="仿宋" w:cs="仿宋"/>
                <w:sz w:val="24"/>
                <w:lang w:val="en-US" w:eastAsia="zh-CN"/>
              </w:rPr>
              <w:t>上次课</w:t>
            </w:r>
            <w:r>
              <w:rPr>
                <w:rFonts w:hint="eastAsia" w:ascii="仿宋" w:hAnsi="仿宋" w:eastAsia="仿宋" w:cs="仿宋"/>
                <w:sz w:val="24"/>
              </w:rPr>
              <w:t>重要内容</w:t>
            </w:r>
          </w:p>
        </w:tc>
        <w:tc>
          <w:tcPr>
            <w:tcW w:w="2610" w:type="dxa"/>
            <w:shd w:val="clear" w:color="auto" w:fill="FFFFFF"/>
            <w:vAlign w:val="top"/>
          </w:tcPr>
          <w:p w14:paraId="424E5DB6">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结合思维导图回顾相关内容</w:t>
            </w:r>
          </w:p>
          <w:p w14:paraId="5948D26F">
            <w:pPr>
              <w:spacing w:line="360" w:lineRule="auto"/>
              <w:jc w:val="left"/>
              <w:rPr>
                <w:rFonts w:ascii="仿宋" w:hAnsi="仿宋" w:eastAsia="仿宋" w:cs="仿宋"/>
                <w:sz w:val="24"/>
              </w:rPr>
            </w:pPr>
          </w:p>
        </w:tc>
        <w:tc>
          <w:tcPr>
            <w:tcW w:w="3008" w:type="dxa"/>
            <w:vAlign w:val="top"/>
          </w:tcPr>
          <w:p w14:paraId="042E0A2C">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21992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751CF003">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431702AB">
            <w:pPr>
              <w:spacing w:line="360" w:lineRule="auto"/>
              <w:jc w:val="left"/>
              <w:rPr>
                <w:rFonts w:ascii="仿宋" w:hAnsi="仿宋" w:eastAsia="仿宋" w:cs="仿宋"/>
                <w:sz w:val="24"/>
              </w:rPr>
            </w:pPr>
          </w:p>
          <w:p w14:paraId="1A5ED69D">
            <w:pPr>
              <w:spacing w:line="360" w:lineRule="auto"/>
              <w:jc w:val="left"/>
              <w:rPr>
                <w:rFonts w:ascii="仿宋" w:hAnsi="仿宋" w:eastAsia="仿宋" w:cs="仿宋"/>
                <w:sz w:val="24"/>
              </w:rPr>
            </w:pPr>
          </w:p>
          <w:p w14:paraId="7627A4FE">
            <w:pPr>
              <w:spacing w:line="360" w:lineRule="auto"/>
              <w:jc w:val="left"/>
              <w:rPr>
                <w:rFonts w:ascii="仿宋" w:hAnsi="仿宋" w:eastAsia="仿宋" w:cs="仿宋"/>
                <w:sz w:val="24"/>
              </w:rPr>
            </w:pPr>
          </w:p>
        </w:tc>
        <w:tc>
          <w:tcPr>
            <w:tcW w:w="2700" w:type="dxa"/>
            <w:vAlign w:val="top"/>
          </w:tcPr>
          <w:p w14:paraId="0E8004AB">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132425C1">
            <w:pPr>
              <w:spacing w:line="360" w:lineRule="auto"/>
              <w:jc w:val="left"/>
              <w:rPr>
                <w:rFonts w:ascii="仿宋" w:hAnsi="仿宋" w:eastAsia="仿宋" w:cs="仿宋"/>
                <w:sz w:val="24"/>
              </w:rPr>
            </w:pPr>
          </w:p>
          <w:p w14:paraId="38EC77F7">
            <w:pPr>
              <w:spacing w:line="360" w:lineRule="auto"/>
              <w:jc w:val="left"/>
              <w:rPr>
                <w:rFonts w:ascii="仿宋" w:hAnsi="仿宋" w:eastAsia="仿宋" w:cs="仿宋"/>
                <w:sz w:val="24"/>
              </w:rPr>
            </w:pPr>
          </w:p>
          <w:p w14:paraId="60CB9960">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610" w:type="dxa"/>
            <w:vAlign w:val="top"/>
          </w:tcPr>
          <w:p w14:paraId="2E9414E2">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7EE29458">
            <w:pPr>
              <w:spacing w:line="360" w:lineRule="auto"/>
              <w:jc w:val="left"/>
              <w:rPr>
                <w:rFonts w:ascii="仿宋" w:hAnsi="仿宋" w:eastAsia="仿宋" w:cs="仿宋"/>
                <w:sz w:val="24"/>
              </w:rPr>
            </w:pPr>
          </w:p>
          <w:p w14:paraId="64983A0F">
            <w:pPr>
              <w:spacing w:line="360" w:lineRule="auto"/>
              <w:jc w:val="left"/>
              <w:rPr>
                <w:rFonts w:ascii="仿宋" w:hAnsi="仿宋" w:eastAsia="仿宋" w:cs="仿宋"/>
                <w:sz w:val="24"/>
              </w:rPr>
            </w:pPr>
          </w:p>
          <w:p w14:paraId="21E7ADC9">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008" w:type="dxa"/>
            <w:vAlign w:val="top"/>
          </w:tcPr>
          <w:p w14:paraId="0413DDA6">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上次课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通过暴露出来的问题启发学习应有认真严谨的工作态度，努力培养伦理道德思想和理念。</w:t>
            </w:r>
          </w:p>
        </w:tc>
      </w:tr>
      <w:tr w14:paraId="6D608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272FA525">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51EBA814">
            <w:pPr>
              <w:spacing w:line="360" w:lineRule="auto"/>
              <w:jc w:val="left"/>
              <w:rPr>
                <w:rFonts w:ascii="仿宋" w:hAnsi="仿宋" w:eastAsia="仿宋" w:cs="仿宋"/>
                <w:sz w:val="24"/>
              </w:rPr>
            </w:pPr>
          </w:p>
        </w:tc>
        <w:tc>
          <w:tcPr>
            <w:tcW w:w="2700" w:type="dxa"/>
            <w:vAlign w:val="top"/>
          </w:tcPr>
          <w:p w14:paraId="350347DB">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610" w:type="dxa"/>
            <w:vAlign w:val="top"/>
          </w:tcPr>
          <w:p w14:paraId="60228216">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008" w:type="dxa"/>
            <w:vAlign w:val="top"/>
          </w:tcPr>
          <w:p w14:paraId="2EEE1692">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55261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28614E80">
            <w:pPr>
              <w:spacing w:line="360" w:lineRule="auto"/>
              <w:jc w:val="left"/>
              <w:rPr>
                <w:rFonts w:ascii="仿宋" w:hAnsi="仿宋" w:eastAsia="仿宋" w:cs="仿宋"/>
                <w:sz w:val="24"/>
              </w:rPr>
            </w:pPr>
            <w:r>
              <w:rPr>
                <w:rFonts w:hint="eastAsia" w:ascii="仿宋" w:hAnsi="仿宋" w:eastAsia="仿宋" w:cs="仿宋"/>
                <w:sz w:val="24"/>
              </w:rPr>
              <w:t>老年患者的护理伦理</w:t>
            </w:r>
          </w:p>
          <w:p w14:paraId="6EA51D1F">
            <w:pPr>
              <w:spacing w:line="360" w:lineRule="auto"/>
              <w:jc w:val="left"/>
              <w:rPr>
                <w:rFonts w:ascii="仿宋" w:hAnsi="仿宋" w:eastAsia="仿宋" w:cs="仿宋"/>
                <w:sz w:val="24"/>
              </w:rPr>
            </w:pPr>
          </w:p>
        </w:tc>
        <w:tc>
          <w:tcPr>
            <w:tcW w:w="2700" w:type="dxa"/>
            <w:vAlign w:val="top"/>
          </w:tcPr>
          <w:p w14:paraId="5786AB13">
            <w:pPr>
              <w:spacing w:line="360" w:lineRule="auto"/>
              <w:rPr>
                <w:rFonts w:ascii="仿宋" w:hAnsi="仿宋" w:eastAsia="仿宋" w:cs="仿宋"/>
                <w:sz w:val="24"/>
              </w:rPr>
            </w:pPr>
            <w:r>
              <w:rPr>
                <w:rFonts w:hint="eastAsia" w:ascii="仿宋" w:hAnsi="仿宋" w:eastAsia="仿宋" w:cs="仿宋"/>
                <w:sz w:val="24"/>
              </w:rPr>
              <w:t>1.讲解老年患者的护理特点</w:t>
            </w:r>
          </w:p>
          <w:p w14:paraId="7A735C29">
            <w:pPr>
              <w:spacing w:line="360" w:lineRule="auto"/>
              <w:rPr>
                <w:rFonts w:ascii="仿宋" w:hAnsi="仿宋" w:eastAsia="仿宋" w:cs="仿宋"/>
                <w:sz w:val="24"/>
              </w:rPr>
            </w:pPr>
          </w:p>
          <w:p w14:paraId="2C5850E4">
            <w:pPr>
              <w:spacing w:line="360" w:lineRule="auto"/>
              <w:rPr>
                <w:rFonts w:ascii="仿宋" w:hAnsi="仿宋" w:eastAsia="仿宋" w:cs="仿宋"/>
                <w:sz w:val="24"/>
              </w:rPr>
            </w:pPr>
          </w:p>
          <w:p w14:paraId="6E01E920">
            <w:pPr>
              <w:spacing w:line="360" w:lineRule="auto"/>
              <w:rPr>
                <w:rFonts w:ascii="仿宋" w:hAnsi="仿宋" w:eastAsia="仿宋" w:cs="仿宋"/>
                <w:sz w:val="24"/>
              </w:rPr>
            </w:pPr>
            <w:r>
              <w:rPr>
                <w:rFonts w:hint="eastAsia" w:ascii="仿宋" w:hAnsi="仿宋" w:eastAsia="仿宋" w:cs="仿宋"/>
                <w:sz w:val="24"/>
              </w:rPr>
              <w:t>2.提供学生老年护理工作的案例，让学生分析老年患者护理的伦理规范有哪些</w:t>
            </w:r>
          </w:p>
          <w:p w14:paraId="11602B66">
            <w:pPr>
              <w:spacing w:line="360" w:lineRule="auto"/>
              <w:rPr>
                <w:rFonts w:ascii="仿宋" w:hAnsi="仿宋" w:eastAsia="仿宋" w:cs="仿宋"/>
                <w:sz w:val="24"/>
              </w:rPr>
            </w:pPr>
          </w:p>
          <w:p w14:paraId="31C5EFCE">
            <w:pPr>
              <w:spacing w:line="360" w:lineRule="auto"/>
              <w:rPr>
                <w:rFonts w:ascii="仿宋" w:hAnsi="仿宋" w:eastAsia="仿宋" w:cs="仿宋"/>
                <w:sz w:val="24"/>
              </w:rPr>
            </w:pPr>
            <w:r>
              <w:rPr>
                <w:rFonts w:hint="eastAsia" w:ascii="仿宋" w:hAnsi="仿宋" w:eastAsia="仿宋" w:cs="仿宋"/>
                <w:sz w:val="24"/>
              </w:rPr>
              <w:t>3.结合学生分析结果及案例归纳讲解老年患者护理的伦理规范</w:t>
            </w:r>
          </w:p>
          <w:p w14:paraId="3323751A">
            <w:pPr>
              <w:spacing w:line="360" w:lineRule="auto"/>
              <w:rPr>
                <w:rFonts w:ascii="仿宋" w:hAnsi="仿宋" w:eastAsia="仿宋" w:cs="仿宋"/>
                <w:sz w:val="24"/>
              </w:rPr>
            </w:pPr>
          </w:p>
        </w:tc>
        <w:tc>
          <w:tcPr>
            <w:tcW w:w="2610" w:type="dxa"/>
            <w:vAlign w:val="top"/>
          </w:tcPr>
          <w:p w14:paraId="5535E56A">
            <w:pPr>
              <w:spacing w:line="360" w:lineRule="auto"/>
              <w:jc w:val="left"/>
              <w:rPr>
                <w:rFonts w:ascii="仿宋" w:hAnsi="仿宋" w:eastAsia="仿宋" w:cs="仿宋"/>
                <w:sz w:val="24"/>
              </w:rPr>
            </w:pPr>
            <w:r>
              <w:rPr>
                <w:rFonts w:hint="eastAsia" w:ascii="仿宋" w:hAnsi="仿宋" w:eastAsia="仿宋" w:cs="仿宋"/>
                <w:sz w:val="24"/>
              </w:rPr>
              <w:t>1.聆听、思考</w:t>
            </w:r>
          </w:p>
          <w:p w14:paraId="26CC2775">
            <w:pPr>
              <w:spacing w:line="360" w:lineRule="auto"/>
              <w:jc w:val="left"/>
              <w:rPr>
                <w:rFonts w:ascii="仿宋" w:hAnsi="仿宋" w:eastAsia="仿宋" w:cs="仿宋"/>
                <w:sz w:val="24"/>
              </w:rPr>
            </w:pPr>
          </w:p>
          <w:p w14:paraId="3562E803">
            <w:pPr>
              <w:spacing w:line="360" w:lineRule="auto"/>
              <w:jc w:val="left"/>
              <w:rPr>
                <w:rFonts w:ascii="仿宋" w:hAnsi="仿宋" w:eastAsia="仿宋" w:cs="仿宋"/>
                <w:sz w:val="24"/>
              </w:rPr>
            </w:pPr>
          </w:p>
          <w:p w14:paraId="58022991">
            <w:pPr>
              <w:spacing w:line="360" w:lineRule="auto"/>
              <w:jc w:val="left"/>
              <w:rPr>
                <w:rFonts w:ascii="仿宋" w:hAnsi="仿宋" w:eastAsia="仿宋" w:cs="仿宋"/>
                <w:sz w:val="24"/>
              </w:rPr>
            </w:pPr>
          </w:p>
          <w:p w14:paraId="0D943D9E">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1861EF9B">
            <w:pPr>
              <w:spacing w:line="360" w:lineRule="auto"/>
              <w:jc w:val="left"/>
              <w:rPr>
                <w:rFonts w:ascii="仿宋" w:hAnsi="仿宋" w:eastAsia="仿宋" w:cs="仿宋"/>
                <w:sz w:val="24"/>
              </w:rPr>
            </w:pPr>
          </w:p>
          <w:p w14:paraId="535CE418">
            <w:pPr>
              <w:spacing w:line="360" w:lineRule="auto"/>
              <w:jc w:val="left"/>
              <w:rPr>
                <w:rFonts w:ascii="仿宋" w:hAnsi="仿宋" w:eastAsia="仿宋" w:cs="仿宋"/>
                <w:sz w:val="24"/>
              </w:rPr>
            </w:pPr>
          </w:p>
          <w:p w14:paraId="73FD8CCA">
            <w:pPr>
              <w:spacing w:line="360" w:lineRule="auto"/>
              <w:jc w:val="left"/>
              <w:rPr>
                <w:rFonts w:ascii="仿宋" w:hAnsi="仿宋" w:eastAsia="仿宋" w:cs="仿宋"/>
                <w:sz w:val="24"/>
              </w:rPr>
            </w:pPr>
          </w:p>
          <w:p w14:paraId="34E60AA5">
            <w:pPr>
              <w:spacing w:line="360" w:lineRule="auto"/>
              <w:jc w:val="left"/>
              <w:rPr>
                <w:rFonts w:ascii="仿宋" w:hAnsi="仿宋" w:eastAsia="仿宋" w:cs="仿宋"/>
                <w:sz w:val="24"/>
              </w:rPr>
            </w:pPr>
          </w:p>
          <w:p w14:paraId="5F45A2FA">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008" w:type="dxa"/>
            <w:vAlign w:val="top"/>
          </w:tcPr>
          <w:p w14:paraId="7C6B86DC">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的思路讲授老年护理工作中的护理伦理内容，条例清楚，易于学生理解。</w:t>
            </w:r>
          </w:p>
          <w:p w14:paraId="4F8B7AE1">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42911939">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结合学生案例分析结果、教师归纳讲解使知识体系更完整，也易于学生理解和掌握。通过老年护理工作中的护理伦理</w:t>
            </w:r>
            <w:r>
              <w:rPr>
                <w:rFonts w:hint="eastAsia" w:ascii="仿宋" w:hAnsi="仿宋" w:eastAsia="仿宋" w:cs="仿宋"/>
                <w:b/>
                <w:bCs/>
                <w:color w:val="FF0000"/>
                <w:sz w:val="24"/>
              </w:rPr>
              <w:t>启发学生文明礼貌、无私奉献、勤学苦练、服务社会。</w:t>
            </w:r>
          </w:p>
        </w:tc>
      </w:tr>
      <w:tr w14:paraId="67F00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13C02790">
            <w:pPr>
              <w:spacing w:line="360" w:lineRule="auto"/>
              <w:jc w:val="left"/>
              <w:rPr>
                <w:rFonts w:ascii="仿宋" w:hAnsi="仿宋" w:eastAsia="仿宋" w:cs="仿宋"/>
                <w:sz w:val="24"/>
              </w:rPr>
            </w:pPr>
            <w:r>
              <w:rPr>
                <w:rFonts w:hint="eastAsia" w:ascii="仿宋" w:hAnsi="仿宋" w:eastAsia="仿宋" w:cs="仿宋"/>
                <w:sz w:val="24"/>
              </w:rPr>
              <w:t>精神病患者的护理伦理</w:t>
            </w:r>
          </w:p>
          <w:p w14:paraId="6056F0AF">
            <w:pPr>
              <w:spacing w:line="360" w:lineRule="auto"/>
              <w:jc w:val="left"/>
              <w:rPr>
                <w:rFonts w:ascii="仿宋" w:hAnsi="仿宋" w:eastAsia="仿宋" w:cs="仿宋"/>
                <w:sz w:val="24"/>
              </w:rPr>
            </w:pPr>
          </w:p>
        </w:tc>
        <w:tc>
          <w:tcPr>
            <w:tcW w:w="2700" w:type="dxa"/>
            <w:vAlign w:val="top"/>
          </w:tcPr>
          <w:p w14:paraId="0F7BD347">
            <w:pPr>
              <w:spacing w:line="360" w:lineRule="auto"/>
              <w:rPr>
                <w:rFonts w:ascii="仿宋" w:hAnsi="仿宋" w:eastAsia="仿宋" w:cs="仿宋"/>
                <w:sz w:val="24"/>
              </w:rPr>
            </w:pPr>
            <w:r>
              <w:rPr>
                <w:rFonts w:hint="eastAsia" w:ascii="仿宋" w:hAnsi="仿宋" w:eastAsia="仿宋" w:cs="仿宋"/>
                <w:sz w:val="24"/>
              </w:rPr>
              <w:t>1.讲解精神病患者的护理特点</w:t>
            </w:r>
          </w:p>
          <w:p w14:paraId="36D88391">
            <w:pPr>
              <w:spacing w:line="360" w:lineRule="auto"/>
              <w:rPr>
                <w:rFonts w:ascii="仿宋" w:hAnsi="仿宋" w:eastAsia="仿宋" w:cs="仿宋"/>
                <w:sz w:val="24"/>
              </w:rPr>
            </w:pPr>
          </w:p>
          <w:p w14:paraId="57F6C706">
            <w:pPr>
              <w:spacing w:line="360" w:lineRule="auto"/>
              <w:rPr>
                <w:rFonts w:ascii="仿宋" w:hAnsi="仿宋" w:eastAsia="仿宋" w:cs="仿宋"/>
                <w:sz w:val="24"/>
              </w:rPr>
            </w:pPr>
          </w:p>
          <w:p w14:paraId="01B6AF0C">
            <w:pPr>
              <w:spacing w:line="360" w:lineRule="auto"/>
              <w:rPr>
                <w:rFonts w:ascii="仿宋" w:hAnsi="仿宋" w:eastAsia="仿宋" w:cs="仿宋"/>
                <w:sz w:val="24"/>
              </w:rPr>
            </w:pPr>
            <w:r>
              <w:rPr>
                <w:rFonts w:hint="eastAsia" w:ascii="仿宋" w:hAnsi="仿宋" w:eastAsia="仿宋" w:cs="仿宋"/>
                <w:sz w:val="24"/>
              </w:rPr>
              <w:t>2.提供学生精神病患者护理工作的案例，让学生分析精神病患者护理的伦理规范有哪些</w:t>
            </w:r>
          </w:p>
          <w:p w14:paraId="3D4A047B">
            <w:pPr>
              <w:spacing w:line="360" w:lineRule="auto"/>
              <w:rPr>
                <w:rFonts w:ascii="仿宋" w:hAnsi="仿宋" w:eastAsia="仿宋" w:cs="仿宋"/>
                <w:sz w:val="24"/>
              </w:rPr>
            </w:pPr>
          </w:p>
          <w:p w14:paraId="3D5F9DB8">
            <w:pPr>
              <w:spacing w:line="360" w:lineRule="auto"/>
              <w:rPr>
                <w:rFonts w:ascii="仿宋" w:hAnsi="仿宋" w:eastAsia="仿宋" w:cs="仿宋"/>
                <w:sz w:val="24"/>
              </w:rPr>
            </w:pPr>
            <w:r>
              <w:rPr>
                <w:rFonts w:hint="eastAsia" w:ascii="仿宋" w:hAnsi="仿宋" w:eastAsia="仿宋" w:cs="仿宋"/>
                <w:sz w:val="24"/>
              </w:rPr>
              <w:t>3.结合学生分析结果及案例归纳讲解精神病患者护理的伦理规范</w:t>
            </w:r>
          </w:p>
          <w:p w14:paraId="164FE24A">
            <w:pPr>
              <w:spacing w:line="360" w:lineRule="auto"/>
              <w:rPr>
                <w:rFonts w:ascii="仿宋" w:hAnsi="仿宋" w:eastAsia="仿宋" w:cs="仿宋"/>
                <w:sz w:val="24"/>
              </w:rPr>
            </w:pPr>
          </w:p>
        </w:tc>
        <w:tc>
          <w:tcPr>
            <w:tcW w:w="2610" w:type="dxa"/>
            <w:vAlign w:val="top"/>
          </w:tcPr>
          <w:p w14:paraId="6FC61EE2">
            <w:pPr>
              <w:spacing w:line="360" w:lineRule="auto"/>
              <w:jc w:val="left"/>
              <w:rPr>
                <w:rFonts w:ascii="仿宋" w:hAnsi="仿宋" w:eastAsia="仿宋" w:cs="仿宋"/>
                <w:sz w:val="24"/>
              </w:rPr>
            </w:pPr>
            <w:r>
              <w:rPr>
                <w:rFonts w:hint="eastAsia" w:ascii="仿宋" w:hAnsi="仿宋" w:eastAsia="仿宋" w:cs="仿宋"/>
                <w:sz w:val="24"/>
              </w:rPr>
              <w:t>1.聆听、思考</w:t>
            </w:r>
          </w:p>
          <w:p w14:paraId="16D4C789">
            <w:pPr>
              <w:spacing w:line="360" w:lineRule="auto"/>
              <w:jc w:val="left"/>
              <w:rPr>
                <w:rFonts w:ascii="仿宋" w:hAnsi="仿宋" w:eastAsia="仿宋" w:cs="仿宋"/>
                <w:sz w:val="24"/>
              </w:rPr>
            </w:pPr>
          </w:p>
          <w:p w14:paraId="4A5D13DA">
            <w:pPr>
              <w:spacing w:line="360" w:lineRule="auto"/>
              <w:jc w:val="left"/>
              <w:rPr>
                <w:rFonts w:ascii="仿宋" w:hAnsi="仿宋" w:eastAsia="仿宋" w:cs="仿宋"/>
                <w:sz w:val="24"/>
              </w:rPr>
            </w:pPr>
          </w:p>
          <w:p w14:paraId="195248F8">
            <w:pPr>
              <w:spacing w:line="360" w:lineRule="auto"/>
              <w:jc w:val="left"/>
              <w:rPr>
                <w:rFonts w:ascii="仿宋" w:hAnsi="仿宋" w:eastAsia="仿宋" w:cs="仿宋"/>
                <w:sz w:val="24"/>
              </w:rPr>
            </w:pPr>
          </w:p>
          <w:p w14:paraId="579B891B">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76C9E0CB">
            <w:pPr>
              <w:spacing w:line="360" w:lineRule="auto"/>
              <w:jc w:val="left"/>
              <w:rPr>
                <w:rFonts w:ascii="仿宋" w:hAnsi="仿宋" w:eastAsia="仿宋" w:cs="仿宋"/>
                <w:sz w:val="24"/>
              </w:rPr>
            </w:pPr>
          </w:p>
          <w:p w14:paraId="25E49274">
            <w:pPr>
              <w:spacing w:line="360" w:lineRule="auto"/>
              <w:jc w:val="left"/>
              <w:rPr>
                <w:rFonts w:ascii="仿宋" w:hAnsi="仿宋" w:eastAsia="仿宋" w:cs="仿宋"/>
                <w:sz w:val="24"/>
              </w:rPr>
            </w:pPr>
          </w:p>
          <w:p w14:paraId="735B73C5">
            <w:pPr>
              <w:spacing w:line="360" w:lineRule="auto"/>
              <w:jc w:val="left"/>
              <w:rPr>
                <w:rFonts w:ascii="仿宋" w:hAnsi="仿宋" w:eastAsia="仿宋" w:cs="仿宋"/>
                <w:sz w:val="24"/>
              </w:rPr>
            </w:pPr>
          </w:p>
          <w:p w14:paraId="03D242E6">
            <w:pPr>
              <w:spacing w:line="360" w:lineRule="auto"/>
              <w:jc w:val="left"/>
              <w:rPr>
                <w:rFonts w:ascii="仿宋" w:hAnsi="仿宋" w:eastAsia="仿宋" w:cs="仿宋"/>
                <w:sz w:val="24"/>
              </w:rPr>
            </w:pPr>
          </w:p>
          <w:p w14:paraId="28B21C62">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008" w:type="dxa"/>
            <w:vAlign w:val="top"/>
          </w:tcPr>
          <w:p w14:paraId="4CFC3CED">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的思路讲授精神病护理工作中的护理伦理内容，条例清楚，易于学生理解。</w:t>
            </w:r>
          </w:p>
          <w:p w14:paraId="7BA78DD5">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21AF18FC">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结合学生案例分析结果、教师归纳讲解使知识体系更完整，也易于学生理解和掌握。通过精神病护理工作中的护理伦理</w:t>
            </w:r>
            <w:r>
              <w:rPr>
                <w:rFonts w:hint="eastAsia" w:ascii="仿宋" w:hAnsi="仿宋" w:eastAsia="仿宋" w:cs="仿宋"/>
                <w:b/>
                <w:bCs/>
                <w:color w:val="FF0000"/>
                <w:sz w:val="24"/>
              </w:rPr>
              <w:t>启发学生文明礼貌、无私奉献、勤学苦练、服务社会。</w:t>
            </w:r>
          </w:p>
        </w:tc>
      </w:tr>
      <w:tr w14:paraId="68129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0343B54F">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050C229A">
            <w:pPr>
              <w:spacing w:line="360" w:lineRule="auto"/>
              <w:jc w:val="left"/>
              <w:rPr>
                <w:rFonts w:ascii="仿宋" w:hAnsi="仿宋" w:eastAsia="仿宋" w:cs="仿宋"/>
                <w:sz w:val="24"/>
              </w:rPr>
            </w:pPr>
            <w:r>
              <w:rPr>
                <w:rFonts w:hint="eastAsia" w:ascii="仿宋" w:hAnsi="仿宋" w:eastAsia="仿宋" w:cs="仿宋"/>
                <w:sz w:val="24"/>
              </w:rPr>
              <w:t xml:space="preserve">                           </w:t>
            </w:r>
          </w:p>
          <w:p w14:paraId="4122B862">
            <w:pPr>
              <w:spacing w:line="360" w:lineRule="auto"/>
              <w:jc w:val="left"/>
              <w:rPr>
                <w:rFonts w:ascii="仿宋" w:hAnsi="仿宋" w:eastAsia="仿宋" w:cs="仿宋"/>
                <w:sz w:val="24"/>
              </w:rPr>
            </w:pPr>
          </w:p>
        </w:tc>
        <w:tc>
          <w:tcPr>
            <w:tcW w:w="2700" w:type="dxa"/>
            <w:vAlign w:val="top"/>
          </w:tcPr>
          <w:p w14:paraId="0FDE7BCE">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610" w:type="dxa"/>
            <w:vAlign w:val="top"/>
          </w:tcPr>
          <w:p w14:paraId="0307AC78">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43943FFC">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tc>
        <w:tc>
          <w:tcPr>
            <w:tcW w:w="3008" w:type="dxa"/>
            <w:vAlign w:val="top"/>
          </w:tcPr>
          <w:p w14:paraId="0FDBE9CA">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0ED06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65467395">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6AE27C3B">
            <w:pPr>
              <w:spacing w:line="360" w:lineRule="auto"/>
              <w:jc w:val="left"/>
              <w:rPr>
                <w:rFonts w:ascii="仿宋" w:hAnsi="仿宋" w:eastAsia="仿宋" w:cs="仿宋"/>
                <w:sz w:val="24"/>
              </w:rPr>
            </w:pPr>
          </w:p>
        </w:tc>
        <w:tc>
          <w:tcPr>
            <w:tcW w:w="2700" w:type="dxa"/>
            <w:vAlign w:val="top"/>
          </w:tcPr>
          <w:p w14:paraId="116C48BD">
            <w:pPr>
              <w:numPr>
                <w:ilvl w:val="0"/>
                <w:numId w:val="2"/>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5B5C336A">
            <w:pPr>
              <w:numPr>
                <w:ilvl w:val="0"/>
                <w:numId w:val="2"/>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610" w:type="dxa"/>
            <w:vAlign w:val="top"/>
          </w:tcPr>
          <w:p w14:paraId="5C824708">
            <w:pPr>
              <w:numPr>
                <w:ilvl w:val="0"/>
                <w:numId w:val="3"/>
              </w:numPr>
              <w:spacing w:line="360" w:lineRule="auto"/>
              <w:rPr>
                <w:rFonts w:ascii="仿宋" w:hAnsi="仿宋" w:eastAsia="仿宋" w:cs="仿宋"/>
                <w:sz w:val="24"/>
              </w:rPr>
            </w:pPr>
            <w:r>
              <w:rPr>
                <w:rFonts w:hint="eastAsia" w:ascii="仿宋" w:hAnsi="仿宋" w:eastAsia="仿宋" w:cs="仿宋"/>
                <w:sz w:val="24"/>
              </w:rPr>
              <w:t>做课后练习题</w:t>
            </w:r>
          </w:p>
          <w:p w14:paraId="32697EAC">
            <w:pPr>
              <w:spacing w:line="360" w:lineRule="auto"/>
              <w:rPr>
                <w:rFonts w:ascii="仿宋" w:hAnsi="仿宋" w:eastAsia="仿宋" w:cs="仿宋"/>
                <w:sz w:val="24"/>
              </w:rPr>
            </w:pPr>
          </w:p>
          <w:p w14:paraId="289810FC">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493880BE">
            <w:pPr>
              <w:spacing w:line="360" w:lineRule="auto"/>
              <w:rPr>
                <w:rFonts w:ascii="仿宋" w:hAnsi="仿宋" w:eastAsia="仿宋" w:cs="仿宋"/>
                <w:sz w:val="24"/>
              </w:rPr>
            </w:pPr>
          </w:p>
        </w:tc>
        <w:tc>
          <w:tcPr>
            <w:tcW w:w="3008" w:type="dxa"/>
            <w:vAlign w:val="top"/>
          </w:tcPr>
          <w:p w14:paraId="41BB045A">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护理伦理道德的意识和思维</w:t>
            </w:r>
            <w:r>
              <w:rPr>
                <w:rFonts w:hint="eastAsia" w:ascii="仿宋" w:hAnsi="仿宋" w:eastAsia="仿宋" w:cs="仿宋"/>
                <w:sz w:val="24"/>
              </w:rPr>
              <w:t>。</w:t>
            </w:r>
            <w:bookmarkStart w:id="1" w:name="_GoBack"/>
            <w:bookmarkEnd w:id="1"/>
          </w:p>
        </w:tc>
      </w:tr>
      <w:tr w14:paraId="41A70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772205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41748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shd w:val="clear" w:color="auto" w:fill="DEEAF6"/>
            <w:vAlign w:val="top"/>
          </w:tcPr>
          <w:p w14:paraId="661D45D8">
            <w:pPr>
              <w:spacing w:line="360" w:lineRule="auto"/>
              <w:rPr>
                <w:rFonts w:ascii="仿宋" w:hAnsi="仿宋" w:eastAsia="仿宋" w:cs="仿宋"/>
                <w:b/>
                <w:sz w:val="28"/>
                <w:szCs w:val="28"/>
              </w:rPr>
            </w:pPr>
            <w:r>
              <w:rPr>
                <w:rFonts w:hint="eastAsia" w:ascii="仿宋" w:hAnsi="仿宋" w:eastAsia="仿宋" w:cs="仿宋"/>
                <w:b/>
                <w:bCs/>
                <w:sz w:val="28"/>
                <w:szCs w:val="28"/>
              </w:rPr>
              <w:t>课后任务</w:t>
            </w:r>
          </w:p>
        </w:tc>
        <w:tc>
          <w:tcPr>
            <w:tcW w:w="2700" w:type="dxa"/>
            <w:shd w:val="clear" w:color="auto" w:fill="DEEAF6"/>
            <w:vAlign w:val="top"/>
          </w:tcPr>
          <w:p w14:paraId="67E4530B">
            <w:pPr>
              <w:spacing w:line="360" w:lineRule="auto"/>
              <w:rPr>
                <w:rFonts w:ascii="仿宋" w:hAnsi="仿宋" w:eastAsia="仿宋" w:cs="仿宋"/>
                <w:b/>
                <w:bCs/>
                <w:sz w:val="28"/>
                <w:szCs w:val="28"/>
              </w:rPr>
            </w:pPr>
            <w:r>
              <w:rPr>
                <w:rFonts w:hint="eastAsia" w:ascii="仿宋" w:hAnsi="仿宋" w:eastAsia="仿宋" w:cs="仿宋"/>
                <w:b/>
                <w:bCs/>
                <w:sz w:val="28"/>
                <w:szCs w:val="28"/>
              </w:rPr>
              <w:t>教师活动</w:t>
            </w:r>
          </w:p>
        </w:tc>
        <w:tc>
          <w:tcPr>
            <w:tcW w:w="2610" w:type="dxa"/>
            <w:shd w:val="clear" w:color="auto" w:fill="DEEAF6"/>
            <w:vAlign w:val="top"/>
          </w:tcPr>
          <w:p w14:paraId="0942A3CF">
            <w:pPr>
              <w:spacing w:line="360" w:lineRule="auto"/>
              <w:rPr>
                <w:rFonts w:ascii="仿宋" w:hAnsi="仿宋" w:eastAsia="仿宋" w:cs="仿宋"/>
                <w:sz w:val="24"/>
              </w:rPr>
            </w:pPr>
            <w:r>
              <w:rPr>
                <w:rFonts w:hint="eastAsia" w:ascii="仿宋" w:hAnsi="仿宋" w:eastAsia="仿宋" w:cs="仿宋"/>
                <w:b/>
                <w:bCs/>
                <w:sz w:val="28"/>
                <w:szCs w:val="28"/>
              </w:rPr>
              <w:t>学生活动</w:t>
            </w:r>
          </w:p>
        </w:tc>
        <w:tc>
          <w:tcPr>
            <w:tcW w:w="3008" w:type="dxa"/>
            <w:shd w:val="clear" w:color="auto" w:fill="DEEAF6"/>
            <w:vAlign w:val="top"/>
          </w:tcPr>
          <w:p w14:paraId="7A38B768">
            <w:pPr>
              <w:spacing w:line="360" w:lineRule="auto"/>
              <w:rPr>
                <w:rFonts w:ascii="仿宋" w:hAnsi="仿宋" w:eastAsia="仿宋" w:cs="仿宋"/>
                <w:sz w:val="24"/>
              </w:rPr>
            </w:pPr>
            <w:r>
              <w:rPr>
                <w:rFonts w:hint="eastAsia" w:ascii="仿宋" w:hAnsi="仿宋" w:eastAsia="仿宋" w:cs="仿宋"/>
                <w:b/>
                <w:bCs/>
                <w:sz w:val="28"/>
                <w:szCs w:val="28"/>
              </w:rPr>
              <w:t>设计意图</w:t>
            </w:r>
          </w:p>
        </w:tc>
      </w:tr>
      <w:tr w14:paraId="4B1E0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51856A78">
            <w:pPr>
              <w:spacing w:line="360" w:lineRule="auto"/>
              <w:rPr>
                <w:rFonts w:ascii="仿宋" w:hAnsi="仿宋" w:eastAsia="仿宋" w:cs="仿宋"/>
                <w:sz w:val="24"/>
              </w:rPr>
            </w:pPr>
            <w:r>
              <w:rPr>
                <w:rFonts w:hint="eastAsia" w:ascii="仿宋" w:hAnsi="仿宋" w:eastAsia="仿宋" w:cs="仿宋"/>
                <w:sz w:val="24"/>
              </w:rPr>
              <w:t>1.完成课后作业</w:t>
            </w:r>
          </w:p>
        </w:tc>
        <w:tc>
          <w:tcPr>
            <w:tcW w:w="2700" w:type="dxa"/>
            <w:vAlign w:val="top"/>
          </w:tcPr>
          <w:p w14:paraId="4B5D0720">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610" w:type="dxa"/>
            <w:vAlign w:val="top"/>
          </w:tcPr>
          <w:p w14:paraId="37AF01F9">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008" w:type="dxa"/>
            <w:vAlign w:val="top"/>
          </w:tcPr>
          <w:p w14:paraId="566751C3">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72B88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4" w:type="dxa"/>
            <w:vAlign w:val="top"/>
          </w:tcPr>
          <w:p w14:paraId="4C7BE28A">
            <w:pPr>
              <w:spacing w:line="360" w:lineRule="auto"/>
              <w:rPr>
                <w:rFonts w:ascii="仿宋" w:hAnsi="仿宋" w:eastAsia="仿宋" w:cs="仿宋"/>
                <w:sz w:val="24"/>
              </w:rPr>
            </w:pPr>
            <w:r>
              <w:rPr>
                <w:rFonts w:hint="eastAsia" w:ascii="仿宋" w:hAnsi="仿宋" w:eastAsia="仿宋" w:cs="仿宋"/>
                <w:sz w:val="24"/>
              </w:rPr>
              <w:t>2.线上学习</w:t>
            </w:r>
          </w:p>
        </w:tc>
        <w:tc>
          <w:tcPr>
            <w:tcW w:w="2700" w:type="dxa"/>
            <w:vAlign w:val="top"/>
          </w:tcPr>
          <w:p w14:paraId="0F533376">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610" w:type="dxa"/>
            <w:vAlign w:val="top"/>
          </w:tcPr>
          <w:p w14:paraId="128CA490">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008" w:type="dxa"/>
            <w:vAlign w:val="top"/>
          </w:tcPr>
          <w:p w14:paraId="30B0EC73">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1872B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0540800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75EEE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462600CC">
            <w:pPr>
              <w:spacing w:line="360" w:lineRule="auto"/>
              <w:jc w:val="center"/>
              <w:rPr>
                <w:rFonts w:ascii="仿宋" w:hAnsi="仿宋" w:eastAsia="仿宋" w:cs="仿宋"/>
                <w:b/>
                <w:bCs/>
                <w:sz w:val="28"/>
                <w:szCs w:val="28"/>
              </w:rPr>
            </w:pPr>
          </w:p>
          <w:p w14:paraId="640527AE">
            <w:pPr>
              <w:spacing w:line="360" w:lineRule="auto"/>
              <w:jc w:val="center"/>
              <w:rPr>
                <w:rFonts w:ascii="仿宋" w:hAnsi="仿宋" w:eastAsia="仿宋" w:cs="仿宋"/>
                <w:b/>
                <w:bCs/>
                <w:sz w:val="28"/>
                <w:szCs w:val="28"/>
              </w:rPr>
            </w:pPr>
          </w:p>
          <w:p w14:paraId="0D3013FC">
            <w:pPr>
              <w:spacing w:line="360" w:lineRule="auto"/>
              <w:rPr>
                <w:rFonts w:ascii="仿宋" w:hAnsi="仿宋" w:eastAsia="仿宋" w:cs="仿宋"/>
                <w:b/>
                <w:bCs/>
                <w:sz w:val="28"/>
                <w:szCs w:val="28"/>
              </w:rPr>
            </w:pPr>
          </w:p>
        </w:tc>
      </w:tr>
    </w:tbl>
    <w:p w14:paraId="64900754">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596E2E41-6632-4433-A569-7280D08446AD}"/>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A9E9D09C-DAD4-4B25-A8E0-BB164CA50EAD}"/>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2A281949"/>
    <w:multiLevelType w:val="singleLevel"/>
    <w:tmpl w:val="2A281949"/>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E3C75E8"/>
    <w:rsid w:val="184F0EEE"/>
    <w:rsid w:val="18B879FE"/>
    <w:rsid w:val="1FB84519"/>
    <w:rsid w:val="2003061B"/>
    <w:rsid w:val="20F13C9B"/>
    <w:rsid w:val="238347DF"/>
    <w:rsid w:val="24B477DD"/>
    <w:rsid w:val="278141AB"/>
    <w:rsid w:val="28B578A7"/>
    <w:rsid w:val="2B937D0B"/>
    <w:rsid w:val="322A12C5"/>
    <w:rsid w:val="34AD60CD"/>
    <w:rsid w:val="34B67F89"/>
    <w:rsid w:val="3667350A"/>
    <w:rsid w:val="368D542E"/>
    <w:rsid w:val="388B134B"/>
    <w:rsid w:val="3C8D6DE4"/>
    <w:rsid w:val="436C72A2"/>
    <w:rsid w:val="43CD7F64"/>
    <w:rsid w:val="44B33A23"/>
    <w:rsid w:val="45C91BBA"/>
    <w:rsid w:val="49B62C9D"/>
    <w:rsid w:val="49F8701E"/>
    <w:rsid w:val="4C7F0E23"/>
    <w:rsid w:val="4DE374C2"/>
    <w:rsid w:val="533C039D"/>
    <w:rsid w:val="53A000C2"/>
    <w:rsid w:val="582E68E8"/>
    <w:rsid w:val="5A7C6694"/>
    <w:rsid w:val="5EE27322"/>
    <w:rsid w:val="5F076D88"/>
    <w:rsid w:val="5FFC3909"/>
    <w:rsid w:val="600E33E1"/>
    <w:rsid w:val="622A303A"/>
    <w:rsid w:val="65201B06"/>
    <w:rsid w:val="701B1D7B"/>
    <w:rsid w:val="7058635C"/>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2084</Words>
  <Characters>2142</Characters>
  <Lines>1</Lines>
  <Paragraphs>1</Paragraphs>
  <TotalTime>1</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2025-07-24T01:16:57Z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1DA70E5653824C19BC1AC86537F500D0_13</vt:lpwstr>
  </property>
  <property fmtid="{D5CDD505-2E9C-101B-9397-08002B2CF9AE}" pid="4" name="KSOTemplateDocerSaveRecord">
    <vt:lpwstr>eyJoZGlkIjoiOTcxZjc4Y2ViNTBlZDVmZTI3YTAxZGE1NWVmM2E2NDEiLCJ1c2VySWQiOiI0MDMzMDA2MzYifQ==</vt:lpwstr>
  </property>
</Properties>
</file>